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F3" w:rsidRDefault="001637F3" w:rsidP="001637F3">
      <w:pPr>
        <w:pStyle w:val="Heading1"/>
        <w:spacing w:before="0" w:after="0"/>
        <w:rPr>
          <w:rFonts w:ascii="Times New Roman" w:hAnsi="Times New Roman" w:cs="Times New Roman"/>
          <w:sz w:val="20"/>
        </w:rPr>
      </w:pPr>
    </w:p>
    <w:p w:rsidR="002B21CC" w:rsidRDefault="002B21CC" w:rsidP="001637F3">
      <w:pPr>
        <w:rPr>
          <w:b/>
          <w:noProof/>
        </w:rPr>
      </w:pPr>
    </w:p>
    <w:p w:rsidR="001C1155" w:rsidRPr="006A4D4D" w:rsidRDefault="001C1155" w:rsidP="001637F3">
      <w:pPr>
        <w:rPr>
          <w:b/>
          <w:noProof/>
        </w:rPr>
      </w:pPr>
    </w:p>
    <w:p w:rsidR="001637F3" w:rsidRDefault="001637F3" w:rsidP="002B21CC">
      <w:pPr>
        <w:jc w:val="center"/>
        <w:rPr>
          <w:b/>
          <w:noProof/>
          <w:sz w:val="28"/>
          <w:szCs w:val="28"/>
        </w:rPr>
      </w:pPr>
      <w:r w:rsidRPr="00517A05">
        <w:rPr>
          <w:b/>
          <w:noProof/>
          <w:sz w:val="28"/>
          <w:szCs w:val="28"/>
        </w:rPr>
        <w:t>A  N  U  N  Ţ</w:t>
      </w:r>
    </w:p>
    <w:p w:rsidR="001C1155" w:rsidRDefault="001C1155" w:rsidP="002B21CC">
      <w:pPr>
        <w:jc w:val="center"/>
        <w:rPr>
          <w:b/>
          <w:noProof/>
          <w:sz w:val="28"/>
          <w:szCs w:val="28"/>
        </w:rPr>
      </w:pPr>
    </w:p>
    <w:p w:rsidR="00E352BF" w:rsidRPr="00517A05" w:rsidRDefault="00E352BF" w:rsidP="002B21CC">
      <w:pPr>
        <w:jc w:val="center"/>
        <w:rPr>
          <w:b/>
          <w:noProof/>
          <w:sz w:val="28"/>
          <w:szCs w:val="28"/>
        </w:rPr>
      </w:pPr>
    </w:p>
    <w:p w:rsidR="005372E2" w:rsidRPr="005372E2" w:rsidRDefault="00517A05" w:rsidP="002B21CC">
      <w:pPr>
        <w:jc w:val="center"/>
        <w:rPr>
          <w:noProof/>
          <w:sz w:val="28"/>
          <w:szCs w:val="28"/>
        </w:rPr>
      </w:pPr>
      <w:r>
        <w:rPr>
          <w:noProof/>
          <w:sz w:val="28"/>
          <w:szCs w:val="28"/>
        </w:rPr>
        <w:t xml:space="preserve">În atenția candidaților înscriși la concursul organizat de Inspectoratul de Poliție Județean Olt, pentru ocuparea funcțiilor vacante de </w:t>
      </w:r>
      <w:r w:rsidRPr="00517A05">
        <w:rPr>
          <w:noProof/>
          <w:sz w:val="28"/>
          <w:szCs w:val="28"/>
        </w:rPr>
        <w:t xml:space="preserve">şef </w:t>
      </w:r>
      <w:r w:rsidR="00585BCA">
        <w:rPr>
          <w:noProof/>
          <w:sz w:val="28"/>
          <w:szCs w:val="28"/>
        </w:rPr>
        <w:t>post la Posturile de Poliție</w:t>
      </w:r>
      <w:r w:rsidR="003E4EB9">
        <w:rPr>
          <w:noProof/>
          <w:sz w:val="28"/>
          <w:szCs w:val="28"/>
        </w:rPr>
        <w:t xml:space="preserve"> </w:t>
      </w:r>
      <w:r w:rsidR="00932A7C">
        <w:rPr>
          <w:noProof/>
          <w:sz w:val="28"/>
          <w:szCs w:val="28"/>
        </w:rPr>
        <w:t>Cârlogani, Brebeni și Morunglav</w:t>
      </w:r>
      <w:r w:rsidR="00585BCA">
        <w:rPr>
          <w:noProof/>
          <w:sz w:val="28"/>
          <w:szCs w:val="28"/>
        </w:rPr>
        <w:t xml:space="preserve"> </w:t>
      </w:r>
    </w:p>
    <w:p w:rsidR="00517A05" w:rsidRDefault="00517A05" w:rsidP="002B21CC">
      <w:pPr>
        <w:jc w:val="both"/>
        <w:rPr>
          <w:sz w:val="28"/>
          <w:szCs w:val="28"/>
        </w:rPr>
      </w:pPr>
    </w:p>
    <w:p w:rsidR="00590C6F" w:rsidRDefault="00590C6F" w:rsidP="002B21CC">
      <w:pPr>
        <w:jc w:val="both"/>
        <w:rPr>
          <w:sz w:val="28"/>
          <w:szCs w:val="28"/>
        </w:rPr>
      </w:pPr>
    </w:p>
    <w:p w:rsidR="00585BCA" w:rsidRDefault="00517A05" w:rsidP="002B21CC">
      <w:pPr>
        <w:ind w:left="360"/>
        <w:jc w:val="both"/>
        <w:rPr>
          <w:sz w:val="28"/>
          <w:szCs w:val="28"/>
        </w:rPr>
      </w:pPr>
      <w:r>
        <w:rPr>
          <w:sz w:val="28"/>
          <w:szCs w:val="28"/>
        </w:rPr>
        <w:t xml:space="preserve">         În urma programării efectuate de Centrul de Psihosociologie al M.A.I., în </w:t>
      </w:r>
    </w:p>
    <w:p w:rsidR="00E94627" w:rsidRDefault="004F622E" w:rsidP="002C108E">
      <w:pPr>
        <w:jc w:val="both"/>
        <w:rPr>
          <w:sz w:val="28"/>
          <w:szCs w:val="28"/>
        </w:rPr>
      </w:pPr>
      <w:r w:rsidRPr="00BC7AEE">
        <w:rPr>
          <w:b/>
          <w:sz w:val="28"/>
          <w:szCs w:val="28"/>
        </w:rPr>
        <w:t xml:space="preserve">data de </w:t>
      </w:r>
      <w:r w:rsidR="002C108E" w:rsidRPr="00BC7AEE">
        <w:rPr>
          <w:b/>
          <w:sz w:val="28"/>
          <w:szCs w:val="28"/>
        </w:rPr>
        <w:t>28.06</w:t>
      </w:r>
      <w:r w:rsidR="003E4EB9" w:rsidRPr="00BC7AEE">
        <w:rPr>
          <w:b/>
          <w:sz w:val="28"/>
          <w:szCs w:val="28"/>
        </w:rPr>
        <w:t>.2022</w:t>
      </w:r>
      <w:r w:rsidR="00517A05" w:rsidRPr="00BC7AEE">
        <w:rPr>
          <w:b/>
          <w:sz w:val="28"/>
          <w:szCs w:val="28"/>
        </w:rPr>
        <w:t>, ora 08.</w:t>
      </w:r>
      <w:r w:rsidR="002C108E" w:rsidRPr="00BC7AEE">
        <w:rPr>
          <w:b/>
          <w:sz w:val="28"/>
          <w:szCs w:val="28"/>
        </w:rPr>
        <w:t>15</w:t>
      </w:r>
      <w:r w:rsidR="00517A05" w:rsidRPr="00BC7AEE">
        <w:rPr>
          <w:sz w:val="28"/>
          <w:szCs w:val="28"/>
        </w:rPr>
        <w:t xml:space="preserve">, la sediul acestei instituții, din </w:t>
      </w:r>
      <w:r w:rsidR="00517A05" w:rsidRPr="00BC7AEE">
        <w:rPr>
          <w:b/>
          <w:sz w:val="28"/>
          <w:szCs w:val="28"/>
        </w:rPr>
        <w:t>mun. București, str.</w:t>
      </w:r>
      <w:r w:rsidR="00517A05" w:rsidRPr="00807D99">
        <w:rPr>
          <w:b/>
          <w:sz w:val="28"/>
          <w:szCs w:val="28"/>
        </w:rPr>
        <w:t xml:space="preserve"> Maria Ghiculeasa, nr. 47, sector 2</w:t>
      </w:r>
      <w:r w:rsidR="00517A05">
        <w:rPr>
          <w:sz w:val="28"/>
          <w:szCs w:val="28"/>
        </w:rPr>
        <w:t xml:space="preserve">, se va desfășura </w:t>
      </w:r>
      <w:r w:rsidR="00517A05" w:rsidRPr="00807D99">
        <w:rPr>
          <w:b/>
          <w:sz w:val="28"/>
          <w:szCs w:val="28"/>
          <w:u w:val="single"/>
        </w:rPr>
        <w:t>evaluarea psihologică</w:t>
      </w:r>
      <w:r w:rsidR="00517A05">
        <w:rPr>
          <w:sz w:val="28"/>
          <w:szCs w:val="28"/>
        </w:rPr>
        <w:t xml:space="preserve"> a următorilor candidați înscriși la concursul mai sus-menționat:</w:t>
      </w:r>
    </w:p>
    <w:p w:rsidR="00932A7C" w:rsidRPr="00E352BF" w:rsidRDefault="00932A7C" w:rsidP="002B21CC">
      <w:pPr>
        <w:jc w:val="both"/>
        <w:rPr>
          <w:b/>
          <w:sz w:val="28"/>
          <w:szCs w:val="28"/>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6279"/>
      </w:tblGrid>
      <w:tr w:rsidR="002B21CC" w:rsidRPr="002B21CC" w:rsidTr="002B21CC">
        <w:trPr>
          <w:trHeight w:val="20"/>
          <w:jc w:val="center"/>
        </w:trPr>
        <w:tc>
          <w:tcPr>
            <w:tcW w:w="771" w:type="dxa"/>
          </w:tcPr>
          <w:p w:rsidR="002B21CC" w:rsidRPr="002B21CC" w:rsidRDefault="002B21CC" w:rsidP="002B21CC">
            <w:pPr>
              <w:jc w:val="center"/>
              <w:rPr>
                <w:b/>
              </w:rPr>
            </w:pPr>
            <w:r w:rsidRPr="002B21CC">
              <w:rPr>
                <w:b/>
              </w:rPr>
              <w:t>Nr.</w:t>
            </w:r>
          </w:p>
          <w:p w:rsidR="002B21CC" w:rsidRPr="002B21CC" w:rsidRDefault="002B21CC" w:rsidP="002B21CC">
            <w:pPr>
              <w:jc w:val="center"/>
              <w:rPr>
                <w:b/>
              </w:rPr>
            </w:pPr>
            <w:r w:rsidRPr="002B21CC">
              <w:rPr>
                <w:b/>
              </w:rPr>
              <w:t>Crt.</w:t>
            </w:r>
          </w:p>
        </w:tc>
        <w:tc>
          <w:tcPr>
            <w:tcW w:w="6279" w:type="dxa"/>
          </w:tcPr>
          <w:p w:rsidR="002B21CC" w:rsidRPr="002B21CC" w:rsidRDefault="002B21CC" w:rsidP="002B21CC">
            <w:pPr>
              <w:jc w:val="center"/>
              <w:rPr>
                <w:b/>
              </w:rPr>
            </w:pPr>
            <w:r>
              <w:t>C</w:t>
            </w:r>
            <w:r w:rsidRPr="002B21CC">
              <w:t>od numeric alocat candidatului, în vederea efectuării informării publice, în acord cu prevederile Regulamentului U.E. nr. 679/2016</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C73969" w:rsidP="00822AB1">
            <w:pPr>
              <w:jc w:val="center"/>
              <w:rPr>
                <w:b/>
              </w:rPr>
            </w:pPr>
            <w:r>
              <w:rPr>
                <w:b/>
              </w:rPr>
              <w:t>1</w:t>
            </w:r>
            <w:r w:rsidR="00932A7C">
              <w:rPr>
                <w:b/>
              </w:rPr>
              <w:t>95482</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C73969" w:rsidP="00822AB1">
            <w:pPr>
              <w:jc w:val="center"/>
              <w:rPr>
                <w:b/>
              </w:rPr>
            </w:pPr>
            <w:r>
              <w:rPr>
                <w:b/>
              </w:rPr>
              <w:t>1</w:t>
            </w:r>
            <w:r w:rsidR="00932A7C">
              <w:rPr>
                <w:b/>
              </w:rPr>
              <w:t>95489</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C73969" w:rsidP="00822AB1">
            <w:pPr>
              <w:jc w:val="center"/>
              <w:rPr>
                <w:b/>
              </w:rPr>
            </w:pPr>
            <w:r>
              <w:rPr>
                <w:b/>
              </w:rPr>
              <w:t>1</w:t>
            </w:r>
            <w:r w:rsidR="00932A7C">
              <w:rPr>
                <w:b/>
              </w:rPr>
              <w:t>95491</w:t>
            </w:r>
          </w:p>
        </w:tc>
      </w:tr>
      <w:tr w:rsidR="00590C6F" w:rsidRPr="002B21CC" w:rsidTr="002B21CC">
        <w:trPr>
          <w:trHeight w:val="20"/>
          <w:jc w:val="center"/>
        </w:trPr>
        <w:tc>
          <w:tcPr>
            <w:tcW w:w="771" w:type="dxa"/>
          </w:tcPr>
          <w:p w:rsidR="00590C6F" w:rsidRPr="002B21CC" w:rsidRDefault="00590C6F" w:rsidP="002B21CC">
            <w:pPr>
              <w:pStyle w:val="ListParagraph"/>
              <w:numPr>
                <w:ilvl w:val="0"/>
                <w:numId w:val="2"/>
              </w:numPr>
              <w:jc w:val="center"/>
              <w:rPr>
                <w:b/>
              </w:rPr>
            </w:pPr>
          </w:p>
        </w:tc>
        <w:tc>
          <w:tcPr>
            <w:tcW w:w="6279" w:type="dxa"/>
            <w:vAlign w:val="center"/>
          </w:tcPr>
          <w:p w:rsidR="00590C6F" w:rsidRDefault="00590C6F" w:rsidP="000A2348">
            <w:pPr>
              <w:jc w:val="center"/>
              <w:rPr>
                <w:b/>
              </w:rPr>
            </w:pPr>
            <w:r>
              <w:rPr>
                <w:b/>
              </w:rPr>
              <w:t>1</w:t>
            </w:r>
            <w:r w:rsidR="00932A7C">
              <w:rPr>
                <w:b/>
              </w:rPr>
              <w:t>95517</w:t>
            </w:r>
          </w:p>
        </w:tc>
      </w:tr>
      <w:tr w:rsidR="00590C6F" w:rsidRPr="002B21CC" w:rsidTr="002B21CC">
        <w:trPr>
          <w:trHeight w:val="20"/>
          <w:jc w:val="center"/>
        </w:trPr>
        <w:tc>
          <w:tcPr>
            <w:tcW w:w="771" w:type="dxa"/>
          </w:tcPr>
          <w:p w:rsidR="00590C6F" w:rsidRPr="002B21CC" w:rsidRDefault="00590C6F" w:rsidP="002B21CC">
            <w:pPr>
              <w:pStyle w:val="ListParagraph"/>
              <w:numPr>
                <w:ilvl w:val="0"/>
                <w:numId w:val="2"/>
              </w:numPr>
              <w:jc w:val="center"/>
              <w:rPr>
                <w:b/>
              </w:rPr>
            </w:pPr>
          </w:p>
        </w:tc>
        <w:tc>
          <w:tcPr>
            <w:tcW w:w="6279" w:type="dxa"/>
            <w:vAlign w:val="center"/>
          </w:tcPr>
          <w:p w:rsidR="00590C6F" w:rsidRDefault="00932A7C" w:rsidP="00822AB1">
            <w:pPr>
              <w:jc w:val="center"/>
              <w:rPr>
                <w:b/>
              </w:rPr>
            </w:pPr>
            <w:r>
              <w:rPr>
                <w:b/>
              </w:rPr>
              <w:t>195518</w:t>
            </w:r>
          </w:p>
        </w:tc>
      </w:tr>
      <w:tr w:rsidR="00590C6F" w:rsidRPr="002B21CC" w:rsidTr="002B21CC">
        <w:trPr>
          <w:trHeight w:val="20"/>
          <w:jc w:val="center"/>
        </w:trPr>
        <w:tc>
          <w:tcPr>
            <w:tcW w:w="771" w:type="dxa"/>
          </w:tcPr>
          <w:p w:rsidR="00590C6F" w:rsidRPr="002B21CC" w:rsidRDefault="00590C6F" w:rsidP="002B21CC">
            <w:pPr>
              <w:pStyle w:val="ListParagraph"/>
              <w:numPr>
                <w:ilvl w:val="0"/>
                <w:numId w:val="2"/>
              </w:numPr>
              <w:jc w:val="center"/>
              <w:rPr>
                <w:b/>
              </w:rPr>
            </w:pPr>
          </w:p>
        </w:tc>
        <w:tc>
          <w:tcPr>
            <w:tcW w:w="6279" w:type="dxa"/>
            <w:vAlign w:val="center"/>
          </w:tcPr>
          <w:p w:rsidR="00590C6F" w:rsidRDefault="00932A7C" w:rsidP="00822AB1">
            <w:pPr>
              <w:jc w:val="center"/>
              <w:rPr>
                <w:b/>
              </w:rPr>
            </w:pPr>
            <w:r>
              <w:rPr>
                <w:b/>
              </w:rPr>
              <w:t>195519</w:t>
            </w:r>
          </w:p>
        </w:tc>
      </w:tr>
    </w:tbl>
    <w:p w:rsidR="00932A7C" w:rsidRDefault="00932A7C" w:rsidP="001C1155">
      <w:pPr>
        <w:spacing w:before="120"/>
        <w:jc w:val="both"/>
        <w:rPr>
          <w:bCs/>
          <w:color w:val="000000"/>
          <w:sz w:val="28"/>
          <w:szCs w:val="28"/>
        </w:rPr>
      </w:pPr>
    </w:p>
    <w:p w:rsidR="001C1155" w:rsidRDefault="001C1155" w:rsidP="001C1155">
      <w:pPr>
        <w:spacing w:before="120"/>
        <w:jc w:val="both"/>
        <w:rPr>
          <w:sz w:val="28"/>
          <w:szCs w:val="28"/>
        </w:rPr>
      </w:pPr>
      <w:r w:rsidRPr="003A6AA3">
        <w:rPr>
          <w:bCs/>
          <w:color w:val="000000"/>
          <w:sz w:val="28"/>
          <w:szCs w:val="28"/>
        </w:rPr>
        <w:t>pentru susţinerea testării psihologice</w:t>
      </w:r>
      <w:r w:rsidRPr="003A6AA3">
        <w:rPr>
          <w:i/>
          <w:sz w:val="28"/>
          <w:szCs w:val="28"/>
        </w:rPr>
        <w:t xml:space="preserve"> </w:t>
      </w:r>
      <w:r w:rsidRPr="003A6AA3">
        <w:rPr>
          <w:sz w:val="28"/>
          <w:szCs w:val="28"/>
        </w:rPr>
        <w:t xml:space="preserve">și nu vor putea solicita o reprogramare. </w:t>
      </w:r>
      <w:r>
        <w:rPr>
          <w:sz w:val="28"/>
          <w:szCs w:val="28"/>
        </w:rPr>
        <w:t>Aceștia</w:t>
      </w:r>
      <w:r w:rsidRPr="003A6AA3">
        <w:rPr>
          <w:sz w:val="28"/>
          <w:szCs w:val="28"/>
        </w:rPr>
        <w:t xml:space="preserve"> vor avea asupra lor </w:t>
      </w:r>
      <w:r w:rsidRPr="003A6AA3">
        <w:rPr>
          <w:b/>
          <w:sz w:val="28"/>
          <w:szCs w:val="28"/>
        </w:rPr>
        <w:t>documentul de identitate valabil şi pix de culoare albastră</w:t>
      </w:r>
      <w:r w:rsidRPr="003A6AA3">
        <w:rPr>
          <w:sz w:val="28"/>
          <w:szCs w:val="28"/>
        </w:rPr>
        <w:t>.</w:t>
      </w:r>
    </w:p>
    <w:p w:rsidR="00932A7C" w:rsidRPr="003A6AA3" w:rsidRDefault="00932A7C" w:rsidP="001C1155">
      <w:pPr>
        <w:spacing w:before="120"/>
        <w:jc w:val="both"/>
        <w:rPr>
          <w:sz w:val="28"/>
          <w:szCs w:val="28"/>
        </w:rPr>
      </w:pPr>
    </w:p>
    <w:p w:rsidR="00590C6F" w:rsidRDefault="00590C6F" w:rsidP="00822AB1">
      <w:pPr>
        <w:ind w:firstLine="709"/>
        <w:jc w:val="both"/>
        <w:rPr>
          <w:sz w:val="28"/>
          <w:szCs w:val="28"/>
        </w:rPr>
      </w:pPr>
      <w:r>
        <w:rPr>
          <w:sz w:val="28"/>
          <w:szCs w:val="28"/>
        </w:rPr>
        <w:t xml:space="preserve"> </w:t>
      </w:r>
      <w:r w:rsidR="001C1155" w:rsidRPr="003A6AA3">
        <w:rPr>
          <w:sz w:val="28"/>
          <w:szCs w:val="28"/>
        </w:rPr>
        <w:t xml:space="preserve">Eventualele contestații cu privire la avizul psihologic de inaptitudine vor fi primite la </w:t>
      </w:r>
      <w:r w:rsidR="001C1155" w:rsidRPr="00DB2DAA">
        <w:rPr>
          <w:b/>
          <w:i/>
          <w:sz w:val="28"/>
          <w:szCs w:val="28"/>
        </w:rPr>
        <w:t xml:space="preserve">Serviciul Resurse Umane din cadrul I.P.J. </w:t>
      </w:r>
      <w:r w:rsidR="001C1155">
        <w:rPr>
          <w:b/>
          <w:i/>
          <w:sz w:val="28"/>
          <w:szCs w:val="28"/>
        </w:rPr>
        <w:t>Olt</w:t>
      </w:r>
      <w:r w:rsidR="001C1155" w:rsidRPr="003A6AA3">
        <w:rPr>
          <w:sz w:val="28"/>
          <w:szCs w:val="28"/>
        </w:rPr>
        <w:t xml:space="preserve"> în termen de </w:t>
      </w:r>
      <w:r w:rsidR="001C1155" w:rsidRPr="00DB2DAA">
        <w:rPr>
          <w:b/>
          <w:i/>
          <w:sz w:val="28"/>
          <w:szCs w:val="28"/>
          <w:u w:val="single"/>
        </w:rPr>
        <w:t>3 zile lucrătoare de la luarea la cunoştinţă</w:t>
      </w:r>
      <w:r w:rsidR="001C1155" w:rsidRPr="003A6AA3">
        <w:rPr>
          <w:sz w:val="28"/>
          <w:szCs w:val="28"/>
        </w:rPr>
        <w:t xml:space="preserve"> </w:t>
      </w:r>
      <w:r w:rsidRPr="003A6AA3">
        <w:rPr>
          <w:sz w:val="28"/>
          <w:szCs w:val="28"/>
        </w:rPr>
        <w:t xml:space="preserve">a rezultatului </w:t>
      </w:r>
      <w:r w:rsidR="001C1155" w:rsidRPr="003A6AA3">
        <w:rPr>
          <w:sz w:val="28"/>
          <w:szCs w:val="28"/>
        </w:rPr>
        <w:t>de către candidați, urm</w:t>
      </w:r>
      <w:r w:rsidR="001C1155">
        <w:rPr>
          <w:sz w:val="28"/>
          <w:szCs w:val="28"/>
        </w:rPr>
        <w:t>ând a fi înaintate</w:t>
      </w:r>
      <w:r w:rsidR="001C1155" w:rsidRPr="003A6AA3">
        <w:rPr>
          <w:sz w:val="28"/>
          <w:szCs w:val="28"/>
        </w:rPr>
        <w:t xml:space="preserve"> de îndată, Centrului de Psihosociologie al Ministerului Afacerilor Interne în vederea soluționării acestora, conform prevederilor legale în vigoare.</w:t>
      </w:r>
    </w:p>
    <w:p w:rsidR="00590C6F" w:rsidRPr="00590C6F" w:rsidRDefault="00590C6F" w:rsidP="00590C6F">
      <w:pPr>
        <w:pStyle w:val="Footer"/>
        <w:jc w:val="center"/>
        <w:rPr>
          <w:sz w:val="16"/>
        </w:rPr>
      </w:pPr>
    </w:p>
    <w:p w:rsidR="00590C6F" w:rsidRDefault="00590C6F" w:rsidP="00590C6F">
      <w:pPr>
        <w:ind w:firstLine="709"/>
        <w:jc w:val="both"/>
        <w:rPr>
          <w:sz w:val="28"/>
          <w:szCs w:val="28"/>
        </w:rPr>
      </w:pPr>
      <w:r w:rsidRPr="003A6AA3">
        <w:rPr>
          <w:b/>
          <w:sz w:val="28"/>
          <w:szCs w:val="28"/>
        </w:rPr>
        <w:t>Candidaţii pentru care a fost emis un aviz psihologic (apt/inapt),</w:t>
      </w:r>
      <w:r w:rsidRPr="003A6AA3">
        <w:rPr>
          <w:sz w:val="28"/>
          <w:szCs w:val="28"/>
        </w:rPr>
        <w:t xml:space="preserve"> aflat în perioada de </w:t>
      </w:r>
      <w:r w:rsidRPr="003A6AA3">
        <w:rPr>
          <w:b/>
          <w:sz w:val="28"/>
          <w:szCs w:val="28"/>
        </w:rPr>
        <w:t>valabilitate de 6 luni</w:t>
      </w:r>
      <w:r w:rsidRPr="003A6AA3">
        <w:rPr>
          <w:sz w:val="28"/>
          <w:szCs w:val="28"/>
        </w:rPr>
        <w:t>, ca urmare a evaluării psihologice pe care au</w:t>
      </w:r>
    </w:p>
    <w:p w:rsidR="00E352BF" w:rsidRDefault="001C1155" w:rsidP="00590C6F">
      <w:pPr>
        <w:jc w:val="both"/>
        <w:rPr>
          <w:sz w:val="28"/>
          <w:szCs w:val="28"/>
        </w:rPr>
      </w:pPr>
      <w:r w:rsidRPr="003A6AA3">
        <w:rPr>
          <w:sz w:val="28"/>
          <w:szCs w:val="28"/>
        </w:rPr>
        <w:t xml:space="preserve">susţinut-o pentru acelaşi scop, respectiv în cadrul altor proceduri de concurs pentru ocuparea unei funcţii de conducere, </w:t>
      </w:r>
      <w:r w:rsidRPr="003A6AA3">
        <w:rPr>
          <w:b/>
          <w:sz w:val="28"/>
          <w:szCs w:val="28"/>
        </w:rPr>
        <w:t>nu pot participa la o nouă evaluare</w:t>
      </w:r>
      <w:r w:rsidRPr="003A6AA3">
        <w:rPr>
          <w:sz w:val="28"/>
          <w:szCs w:val="28"/>
        </w:rPr>
        <w:t xml:space="preserve">, potrivit prevederilor </w:t>
      </w:r>
      <w:r w:rsidR="00822AB1">
        <w:rPr>
          <w:sz w:val="28"/>
          <w:szCs w:val="28"/>
        </w:rPr>
        <w:t xml:space="preserve">legale </w:t>
      </w:r>
      <w:r w:rsidRPr="003A6AA3">
        <w:rPr>
          <w:sz w:val="28"/>
          <w:szCs w:val="28"/>
        </w:rPr>
        <w:t xml:space="preserve">incidente. </w:t>
      </w:r>
      <w:r w:rsidR="003E4EB9">
        <w:rPr>
          <w:sz w:val="28"/>
          <w:szCs w:val="28"/>
        </w:rPr>
        <w:t xml:space="preserve">În situația existenței unei astfel de </w:t>
      </w:r>
      <w:r w:rsidR="00822AB1">
        <w:rPr>
          <w:sz w:val="28"/>
          <w:szCs w:val="28"/>
        </w:rPr>
        <w:t>situații, candidatul/candidații au obligația înștiințării Serviciului Resurse Umane al I.P.J Olt</w:t>
      </w:r>
      <w:r w:rsidR="00162588">
        <w:rPr>
          <w:sz w:val="28"/>
          <w:szCs w:val="28"/>
        </w:rPr>
        <w:t xml:space="preserve"> cu privire la acest aspect</w:t>
      </w:r>
      <w:r w:rsidR="00822AB1">
        <w:rPr>
          <w:sz w:val="28"/>
          <w:szCs w:val="28"/>
        </w:rPr>
        <w:t>.</w:t>
      </w:r>
    </w:p>
    <w:p w:rsidR="001C1155" w:rsidRPr="001C1155" w:rsidRDefault="00590C6F" w:rsidP="00590C6F">
      <w:pPr>
        <w:jc w:val="both"/>
        <w:rPr>
          <w:sz w:val="28"/>
          <w:szCs w:val="28"/>
        </w:rPr>
      </w:pPr>
      <w:r>
        <w:rPr>
          <w:b/>
          <w:sz w:val="28"/>
          <w:szCs w:val="28"/>
        </w:rPr>
        <w:t xml:space="preserve">          </w:t>
      </w:r>
      <w:r w:rsidR="001C1155" w:rsidRPr="001C1155">
        <w:rPr>
          <w:sz w:val="28"/>
          <w:szCs w:val="28"/>
        </w:rPr>
        <w:t xml:space="preserve">Pentru aceştia se va solicita, Centrului de Psihosociologie al Ministerului Afacerilor Interne, verificarea în baza de date şi emiterea unui duplicat al avizului valabil, care va fi valorificat în procedura de concurs, la validarea candidaturilor. </w:t>
      </w:r>
    </w:p>
    <w:p w:rsidR="00807D99" w:rsidRDefault="00807D99" w:rsidP="001C1155">
      <w:pPr>
        <w:jc w:val="both"/>
        <w:rPr>
          <w:b/>
          <w:sz w:val="28"/>
          <w:szCs w:val="28"/>
        </w:rPr>
      </w:pPr>
    </w:p>
    <w:p w:rsidR="004E320B" w:rsidRDefault="004E320B" w:rsidP="001C1155">
      <w:pPr>
        <w:jc w:val="both"/>
        <w:rPr>
          <w:b/>
          <w:sz w:val="28"/>
          <w:szCs w:val="28"/>
        </w:rPr>
      </w:pPr>
    </w:p>
    <w:p w:rsidR="004E320B" w:rsidRDefault="004E320B" w:rsidP="001C1155">
      <w:pPr>
        <w:jc w:val="both"/>
        <w:rPr>
          <w:b/>
          <w:sz w:val="28"/>
          <w:szCs w:val="28"/>
        </w:rPr>
      </w:pPr>
      <w:bookmarkStart w:id="0" w:name="_GoBack"/>
      <w:bookmarkEnd w:id="0"/>
    </w:p>
    <w:p w:rsidR="00807D99" w:rsidRDefault="00807D99" w:rsidP="00807D99">
      <w:pPr>
        <w:jc w:val="center"/>
        <w:rPr>
          <w:sz w:val="16"/>
        </w:rPr>
      </w:pPr>
      <w:r w:rsidRPr="00593F35">
        <w:rPr>
          <w:sz w:val="16"/>
        </w:rPr>
        <w:t>DOCUMENT CARE CONTINE DATE CU CARACTER PERSONAL PROTEJATE DE PREVEDERILE REGULAMENTULUI (UE) 679/2016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07D99" w:rsidTr="00661320">
        <w:trPr>
          <w:trHeight w:val="70"/>
          <w:jc w:val="center"/>
        </w:trPr>
        <w:tc>
          <w:tcPr>
            <w:tcW w:w="1206" w:type="dxa"/>
            <w:shd w:val="clear" w:color="auto" w:fill="0000FF"/>
          </w:tcPr>
          <w:p w:rsidR="00807D99" w:rsidRPr="006242AA" w:rsidRDefault="00807D99" w:rsidP="00661320">
            <w:pPr>
              <w:pStyle w:val="Footer"/>
              <w:ind w:right="360"/>
              <w:jc w:val="center"/>
              <w:rPr>
                <w:sz w:val="8"/>
                <w:szCs w:val="8"/>
              </w:rPr>
            </w:pPr>
          </w:p>
        </w:tc>
        <w:tc>
          <w:tcPr>
            <w:tcW w:w="1491" w:type="dxa"/>
            <w:shd w:val="clear" w:color="auto" w:fill="FFFF00"/>
          </w:tcPr>
          <w:p w:rsidR="00807D99" w:rsidRPr="006242AA" w:rsidRDefault="00807D99" w:rsidP="00661320">
            <w:pPr>
              <w:pStyle w:val="Footer"/>
              <w:jc w:val="center"/>
              <w:rPr>
                <w:sz w:val="8"/>
                <w:szCs w:val="8"/>
              </w:rPr>
            </w:pPr>
          </w:p>
        </w:tc>
        <w:tc>
          <w:tcPr>
            <w:tcW w:w="1282" w:type="dxa"/>
            <w:shd w:val="clear" w:color="auto" w:fill="FF0000"/>
          </w:tcPr>
          <w:p w:rsidR="00807D99" w:rsidRPr="006242AA" w:rsidRDefault="00807D99" w:rsidP="00661320">
            <w:pPr>
              <w:pStyle w:val="Footer"/>
              <w:jc w:val="center"/>
              <w:rPr>
                <w:sz w:val="8"/>
                <w:szCs w:val="8"/>
              </w:rPr>
            </w:pPr>
          </w:p>
        </w:tc>
      </w:tr>
    </w:tbl>
    <w:p w:rsidR="00807D99" w:rsidRPr="00E94627" w:rsidRDefault="00807D99" w:rsidP="00E94627">
      <w:pPr>
        <w:pStyle w:val="Footer"/>
        <w:jc w:val="center"/>
        <w:rPr>
          <w:sz w:val="16"/>
        </w:rPr>
      </w:pPr>
      <w:r>
        <w:rPr>
          <w:sz w:val="16"/>
        </w:rPr>
        <w:t>Slatina, str. M. Eminescu, nr. 19, tel 0249/406500</w:t>
      </w:r>
    </w:p>
    <w:sectPr w:rsidR="00807D99" w:rsidRPr="00E94627" w:rsidSect="001C1155">
      <w:pgSz w:w="11906" w:h="16838"/>
      <w:pgMar w:top="142" w:right="991"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D5DE2"/>
    <w:multiLevelType w:val="hybridMultilevel"/>
    <w:tmpl w:val="F87E82BE"/>
    <w:lvl w:ilvl="0" w:tplc="33BAC1EC">
      <w:start w:val="1"/>
      <w:numFmt w:val="decimal"/>
      <w:lvlText w:val="%1."/>
      <w:lvlJc w:val="center"/>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
    <w:nsid w:val="660E6D2C"/>
    <w:multiLevelType w:val="hybridMultilevel"/>
    <w:tmpl w:val="EA288B1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1637F3"/>
    <w:rsid w:val="000038E6"/>
    <w:rsid w:val="00100AD9"/>
    <w:rsid w:val="00162588"/>
    <w:rsid w:val="001637F3"/>
    <w:rsid w:val="001C1155"/>
    <w:rsid w:val="002A5F87"/>
    <w:rsid w:val="002B21CC"/>
    <w:rsid w:val="002C108E"/>
    <w:rsid w:val="002D6F04"/>
    <w:rsid w:val="003975F9"/>
    <w:rsid w:val="003E4EB9"/>
    <w:rsid w:val="00417ECE"/>
    <w:rsid w:val="004E320B"/>
    <w:rsid w:val="004F622E"/>
    <w:rsid w:val="00517A05"/>
    <w:rsid w:val="005372E2"/>
    <w:rsid w:val="00585BCA"/>
    <w:rsid w:val="00590C6F"/>
    <w:rsid w:val="00620A3A"/>
    <w:rsid w:val="00655EB4"/>
    <w:rsid w:val="0078791C"/>
    <w:rsid w:val="007C3A88"/>
    <w:rsid w:val="00807D99"/>
    <w:rsid w:val="00822AB1"/>
    <w:rsid w:val="00834B20"/>
    <w:rsid w:val="008530A2"/>
    <w:rsid w:val="00875FAD"/>
    <w:rsid w:val="008F7FF9"/>
    <w:rsid w:val="00932A7C"/>
    <w:rsid w:val="00935E62"/>
    <w:rsid w:val="00944177"/>
    <w:rsid w:val="0096381B"/>
    <w:rsid w:val="00A72DEC"/>
    <w:rsid w:val="00B01737"/>
    <w:rsid w:val="00B822A9"/>
    <w:rsid w:val="00BC7AEE"/>
    <w:rsid w:val="00BD2271"/>
    <w:rsid w:val="00C31328"/>
    <w:rsid w:val="00C73396"/>
    <w:rsid w:val="00C73969"/>
    <w:rsid w:val="00C93422"/>
    <w:rsid w:val="00E352BF"/>
    <w:rsid w:val="00E85859"/>
    <w:rsid w:val="00E94627"/>
    <w:rsid w:val="00EB575D"/>
    <w:rsid w:val="00EF7A53"/>
    <w:rsid w:val="00F0287D"/>
    <w:rsid w:val="00F1668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E75DD1B-A5DF-4F4E-BEBF-332F5C2A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F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637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F3"/>
    <w:rPr>
      <w:rFonts w:ascii="Arial" w:eastAsia="Times New Roman" w:hAnsi="Arial" w:cs="Arial"/>
      <w:b/>
      <w:bCs/>
      <w:kern w:val="32"/>
      <w:sz w:val="32"/>
      <w:szCs w:val="32"/>
      <w:lang w:eastAsia="ro-RO"/>
    </w:rPr>
  </w:style>
  <w:style w:type="paragraph" w:styleId="BalloonText">
    <w:name w:val="Balloon Text"/>
    <w:basedOn w:val="Normal"/>
    <w:link w:val="BalloonTextChar"/>
    <w:uiPriority w:val="99"/>
    <w:semiHidden/>
    <w:unhideWhenUsed/>
    <w:rsid w:val="001637F3"/>
    <w:rPr>
      <w:rFonts w:ascii="Tahoma" w:hAnsi="Tahoma" w:cs="Tahoma"/>
      <w:sz w:val="16"/>
      <w:szCs w:val="16"/>
    </w:rPr>
  </w:style>
  <w:style w:type="character" w:customStyle="1" w:styleId="BalloonTextChar">
    <w:name w:val="Balloon Text Char"/>
    <w:basedOn w:val="DefaultParagraphFont"/>
    <w:link w:val="BalloonText"/>
    <w:uiPriority w:val="99"/>
    <w:semiHidden/>
    <w:rsid w:val="001637F3"/>
    <w:rPr>
      <w:rFonts w:ascii="Tahoma" w:eastAsia="Times New Roman" w:hAnsi="Tahoma" w:cs="Tahoma"/>
      <w:sz w:val="16"/>
      <w:szCs w:val="16"/>
      <w:lang w:eastAsia="ro-RO"/>
    </w:rPr>
  </w:style>
  <w:style w:type="paragraph" w:styleId="Footer">
    <w:name w:val="footer"/>
    <w:basedOn w:val="Normal"/>
    <w:link w:val="FooterChar"/>
    <w:rsid w:val="00807D99"/>
    <w:pPr>
      <w:tabs>
        <w:tab w:val="center" w:pos="4320"/>
        <w:tab w:val="right" w:pos="8640"/>
      </w:tabs>
    </w:pPr>
    <w:rPr>
      <w:lang w:eastAsia="en-US"/>
    </w:rPr>
  </w:style>
  <w:style w:type="character" w:customStyle="1" w:styleId="FooterChar">
    <w:name w:val="Footer Char"/>
    <w:basedOn w:val="DefaultParagraphFont"/>
    <w:link w:val="Footer"/>
    <w:rsid w:val="00807D99"/>
    <w:rPr>
      <w:rFonts w:ascii="Times New Roman" w:eastAsia="Times New Roman" w:hAnsi="Times New Roman" w:cs="Times New Roman"/>
      <w:sz w:val="24"/>
      <w:szCs w:val="24"/>
    </w:rPr>
  </w:style>
  <w:style w:type="paragraph" w:styleId="ListParagraph">
    <w:name w:val="List Paragraph"/>
    <w:basedOn w:val="Normal"/>
    <w:uiPriority w:val="34"/>
    <w:qFormat/>
    <w:rsid w:val="002B21CC"/>
    <w:pPr>
      <w:ind w:left="720"/>
      <w:contextualSpacing/>
    </w:pPr>
  </w:style>
  <w:style w:type="paragraph" w:customStyle="1" w:styleId="CaracterCaracterCharCharCaracterCharCharCaracterCharChar">
    <w:name w:val="Caracter Caracter Char Char Caracter Char Char Caracter Char Char"/>
    <w:basedOn w:val="Normal"/>
    <w:rsid w:val="001C1155"/>
    <w:pPr>
      <w:spacing w:after="160" w:line="240" w:lineRule="exact"/>
    </w:pPr>
    <w:rPr>
      <w:rFonts w:ascii="Tahoma" w:hAnsi="Tahoma" w:cs="Arial"/>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12BC7-0082-44AB-851B-0E7F7783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brinzan_gheorghe_ot</dc:creator>
  <cp:lastModifiedBy>sanduleasa constantin OT</cp:lastModifiedBy>
  <cp:revision>13</cp:revision>
  <cp:lastPrinted>2022-06-21T10:14:00Z</cp:lastPrinted>
  <dcterms:created xsi:type="dcterms:W3CDTF">2018-10-10T11:05:00Z</dcterms:created>
  <dcterms:modified xsi:type="dcterms:W3CDTF">2022-06-21T10:16:00Z</dcterms:modified>
</cp:coreProperties>
</file>